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jpg" ContentType="image/jpeg"/>
  <Override PartName="/word/media/rId50.jpg" ContentType="image/jpeg"/>
  <Override PartName="/word/media/rId53.jpg" ContentType="image/jpeg"/>
  <Override PartName="/word/media/rId51.jpg" ContentType="image/jpeg"/>
  <Override PartName="/word/media/rId54.jpg" ContentType="image/jpeg"/>
  <Override PartName="/word/media/rId56.jpg" ContentType="image/jpeg"/>
  <Override PartName="/word/media/rId55.jpg" ContentType="image/jpeg"/>
  <Override PartName="/word/media/rId52.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Wed Dec 5 17:05:01 2018 -0800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constrain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unlikely to achieve goals for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landscape conditions (e.g., watershed imperviousness)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Resource management decisions may be difficult to make if information is unavailable that describes these limitations. Context is required that describes how likely a site is to achieve biological integrity and how bioassessment data collected over multiple locations and times can be used to support decisions or identify priorities.</w:t>
      </w:r>
    </w:p>
    <w:p>
      <w:pPr>
        <w:pStyle w:val="BodyText"/>
      </w:pPr>
      <w:r>
        <w:t xml:space="preserve">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 In developed landscapes, the majority of stream miles are in poor biotic condition</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Managing streams in urban or agricultural settings can be costly, success is not universally defined, and achieving regional reference-like conditions may not be feasible</w:t>
      </w:r>
      <w:r>
        <w:t xml:space="preserve"> </w:t>
      </w:r>
      <w:r>
        <w:t xml:space="preserve">(Bernhardt et al.</w:t>
      </w:r>
      <w:r>
        <w:t xml:space="preserve"> </w:t>
      </w:r>
      <w:hyperlink w:anchor="ref-Bernhardt07">
        <w:r>
          <w:rPr>
            <w:rStyle w:val="Hyperlink"/>
          </w:rPr>
          <w:t xml:space="preserve">2007</w:t>
        </w:r>
      </w:hyperlink>
      <w:r>
        <w:t xml:space="preserve">; 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in addition to upstream preventive measures that may be incentivized or enforced through regulation. Although these approaches can lead to improvements in ecological condition, there is no universal remedy for achieving biological integrity in streams. In urban areas, protective thresholds for biological integrity been debated</w:t>
      </w:r>
      <w:r>
        <w:t xml:space="preserve"> </w:t>
      </w:r>
      <w:r>
        <w:t xml:space="preserve">(Cuffney et al.</w:t>
      </w:r>
      <w:r>
        <w:t xml:space="preserve"> </w:t>
      </w:r>
      <w:hyperlink w:anchor="ref-Cuffney11">
        <w:r>
          <w:rPr>
            <w:rStyle w:val="Hyperlink"/>
          </w:rPr>
          <w:t xml:space="preserve">2011</w:t>
        </w:r>
      </w:hyperlink>
      <w:r>
        <w:t xml:space="preserve">)</w:t>
      </w:r>
      <w:r>
        <w:t xml:space="preserve">. Moreover, extensive modifications to streams for flood control or water conveyance are common in developed landscapes.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permitted under section 303(c)(2) of the Clean Water Act).</w:t>
      </w:r>
    </w:p>
    <w:p>
      <w:pPr>
        <w:pStyle w:val="BodyText"/>
      </w:pPr>
      <w:r>
        <w:t xml:space="preserve">Herein, we define constrained streams as those where present landscapes are likely to limit biological integrity. By describing an expected range of biological conditions due to factors that constrain biointegrity and may be difficult to manage, efforts to improve or protect condition could be prioritized at sites where alternative or more easily managed factors are influencing condition. For example, a monitoring site with an observed biological index score that is above a predicted range could be assigned a higher management priority relative to a site that is scoring within the range that is expected based on landscape development. A predictive model of bioassessment scores that is based on landscape metrics (e.g., imperviousness) could describe constraints on biological integrity, whereas variation of observed scores around a model prediction could suggest other factors at the local scale (e.g., instream physical habitat) are more important. Analysis methods that characterize biotic and abiotic factors that limit assemblage composition have been explored by others (i.e., limiting factor theory,</w:t>
      </w:r>
      <w:r>
        <w:t xml:space="preserve"> </w:t>
      </w:r>
      <w:r>
        <w:t xml:space="preserve">Chessman, Muschal, and Royal (</w:t>
      </w:r>
      <w:hyperlink w:anchor="ref-Chessman08">
        <w:r>
          <w:rPr>
            <w:rStyle w:val="Hyperlink"/>
          </w:rPr>
          <w:t xml:space="preserve">2008</w:t>
        </w:r>
      </w:hyperlink>
      <w:r>
        <w:t xml:space="preserve">)</w:t>
      </w:r>
      <w:r>
        <w:t xml:space="preserve">,</w:t>
      </w:r>
      <w:r>
        <w:t xml:space="preserve"> </w:t>
      </w:r>
      <w:r>
        <w:t xml:space="preserve">Chessman (</w:t>
      </w:r>
      <w:hyperlink w:anchor="ref-Chessman14">
        <w:r>
          <w:rPr>
            <w:rStyle w:val="Hyperlink"/>
          </w:rPr>
          <w:t xml:space="preserve">2014</w:t>
        </w:r>
      </w:hyperlink>
      <w:r>
        <w:t xml:space="preserve">)</w:t>
      </w:r>
      <w:r>
        <w:t xml:space="preserve">). Similar concepts have been applied in a landscape context to describe variation in biological communities and metrics at different spatial scales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although they have not been developed to describe constraints as defined above.</w:t>
      </w:r>
    </w:p>
    <w:p>
      <w:pPr>
        <w:pStyle w:val="BodyText"/>
      </w:pPr>
      <w:r>
        <w:t xml:space="preserve">The relationship between stream condition and watershed characteristics has been a critical concept for ecologists in describing environmental expectations</w:t>
      </w:r>
      <w:r>
        <w:t xml:space="preserve"> </w:t>
      </w:r>
      <w:r>
        <w:t xml:space="preserve">(Hynes</w:t>
      </w:r>
      <w:r>
        <w:t xml:space="preserve"> </w:t>
      </w:r>
      <w:hyperlink w:anchor="ref-Hynes75">
        <w:r>
          <w:rPr>
            <w:rStyle w:val="Hyperlink"/>
          </w:rPr>
          <w:t xml:space="preserve">1975</w:t>
        </w:r>
      </w:hyperlink>
      <w:r>
        <w:t xml:space="preserve">; Johnson et al.</w:t>
      </w:r>
      <w:r>
        <w:t xml:space="preserve"> </w:t>
      </w:r>
      <w:hyperlink w:anchor="ref-Johnson97">
        <w:r>
          <w:rPr>
            <w:rStyle w:val="Hyperlink"/>
          </w:rPr>
          <w:t xml:space="preserve">1997</w:t>
        </w:r>
      </w:hyperlink>
      <w:r>
        <w:t xml:space="preserve">; Richards et al.</w:t>
      </w:r>
      <w:r>
        <w:t xml:space="preserve"> </w:t>
      </w:r>
      <w:hyperlink w:anchor="ref-Richards97">
        <w:r>
          <w:rPr>
            <w:rStyle w:val="Hyperlink"/>
          </w:rPr>
          <w:t xml:space="preserve">1997</w:t>
        </w:r>
      </w:hyperlink>
      <w:r>
        <w:t xml:space="preserve">)</w:t>
      </w:r>
      <w:r>
        <w:t xml:space="preserve">.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w:t>
      </w:r>
      <w:r>
        <w:t xml:space="preserve">and previous modelling efforts have successfully used geospatial data to predict stream condition at regional or national scales using geospatial data</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However, past efforts have primarily focused on characterizing condition at unsampled locations, often predicting the most likely condition by estimating averages. Alternative modelling approaches, such as quantile-based methods (e.g.,</w:t>
      </w:r>
      <w:r>
        <w:t xml:space="preserve"> </w:t>
      </w:r>
      <w:r>
        <w:t xml:space="preserve">Cade and Noon (</w:t>
      </w:r>
      <w:hyperlink w:anchor="ref-Cade03">
        <w:r>
          <w:rPr>
            <w:rStyle w:val="Hyperlink"/>
          </w:rPr>
          <w:t xml:space="preserve">2003</w:t>
        </w:r>
      </w:hyperlink>
      <w:r>
        <w:t xml:space="preserve">)</w:t>
      </w:r>
      <w:r>
        <w:t xml:space="preserve">), could be used to predict a range of expectations for biotic integrity from geospatial data.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was to present the development and application of a landscape model to classify biological constraints in streams based on the likelihood that an upper expectation of bioassessment scores is limited by landscape alteration. Our specific objectives were to 1) develop the model using statewide bioassessment data to assign streams to different constraint classes and 2) use these results at a regional scale to identify how constraint classes can inform management priorities. The model was developed and applied to all streams and rivers in California, specifically focusing on the potential of urban and agricultural land use to constrain biological condition. Our case study demonstrated how the statewide model could be used to classify and prioritize in a regional context using guidance from a local stakeholder group from a heavily urbanized watershed where obstacles for achieving biological integrity have been encountered. An interactive software application, the Stream Classification and Priority Explorer (SCAPE), was developed for our case study to help stakeholders choose regional management priorities from the statewide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NC), deserts and plateaus in the northeast and southeast (Deserts and Modoc Plateau region, DM), and Mediterranean climates in coastal regions (Chaparral and South Coast regions, CH and SC). The Central Valley region (CV) is largely agricultural and drains a large mountainous area in the east-central region of the state (Sierra Nevada region, SN). Urban development is concentrated in coastal areas in the central (San Francisco Bay Area, Chapparal region) and southern (Los Angeles, San Diego metropolitan area, South Coast) regions of the state. Landscape alteration has been relatively recent, with one estimate that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Silviculture and logging activities have also occurred in forested regions (SN, NC). For analysis, the state was evaluated as a whole and by the major regions described above</w:t>
      </w:r>
      <w:r>
        <w:t xml:space="preserve"> </w:t>
      </w:r>
      <w:r>
        <w:t xml:space="preserve">(Ode et al.</w:t>
      </w:r>
      <w:r>
        <w:t xml:space="preserve"> </w:t>
      </w:r>
      <w:hyperlink w:anchor="ref-Ode11">
        <w:r>
          <w:rPr>
            <w:rStyle w:val="Hyperlink"/>
          </w:rPr>
          <w:t xml:space="preserve">2011</w:t>
        </w:r>
      </w:hyperlink>
      <w:r>
        <w:t xml:space="preserve">)</w:t>
      </w:r>
      <w:r>
        <w:t xml:space="preserve">.</w:t>
      </w:r>
    </w:p>
    <w:p>
      <w:pPr>
        <w:pStyle w:val="BodyText"/>
      </w:pPr>
      <w:r>
        <w:t xml:space="preserve">The landscape model was developed using land use data, stream hydrography, and biological assessments. 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that provided estimates of land use at the riparian zone (i.e., a 100-m buffer on each side of the stream segment), the catchment (i.e., nearby landscape flowing directly into the immediate stream segment, excluding upstream segments), and the entire upstream watershed for each NHD-Plus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least disturbed reference conditions</w:t>
      </w:r>
      <w:r>
        <w:t xml:space="preserve"> </w:t>
      </w:r>
      <w:r>
        <w:t xml:space="preserve">(Stoddard et al.</w:t>
      </w:r>
      <w:r>
        <w:t xml:space="preserve"> </w:t>
      </w:r>
      <w:hyperlink w:anchor="ref-Stoddard06">
        <w:r>
          <w:rPr>
            <w:rStyle w:val="Hyperlink"/>
          </w:rPr>
          <w:t xml:space="preserve">2006</w:t>
        </w:r>
      </w:hyperlink>
      <w:r>
        <w:t xml:space="preserve">)</w:t>
      </w:r>
      <w:r>
        <w:t xml:space="preserve">.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as a potential target condition.</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Samples were collected during base flow conditions typically between May and July following methods in</w:t>
      </w:r>
      <w:r>
        <w:t xml:space="preserve"> </w:t>
      </w:r>
      <w:r>
        <w:t xml:space="preserve">Ode et al. (</w:t>
      </w:r>
      <w:hyperlink w:anchor="ref-Ode16">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model calibration under the assumption that the landscape data in StreamCat was most relevant to this site. One sample date was chosen randomly for sites with multiple dates so that one CSCI score was matched to a site. This option was preferred relative to selecting sample dates closest in time to StreamCat estimates because land use did not change dramatically during the sample period.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A quantile random forest model was developed to estimate ranges of CSCI scores associated with land use gradients using StreamCat predictors. Expected CSCI scores were modelled using estimates of canal/ditch density, imperviousness, road density/crossings, and urban and agricultural land use for each stream segment (Table</w:t>
      </w:r>
      <w:r>
        <w:t xml:space="preserve"> </w:t>
      </w:r>
      <w:r>
        <w:t xml:space="preserve">1</w:t>
      </w:r>
      <w:r>
        <w:t xml:space="preserve">, Figure S1). Preliminary analyses indicated that these variables adequately described biological constraints relative to a larger model with additional variables. These variables were chosen specifically to describe biologically constrained sites where present landscapes were likely to limit CSCI scores that describe macroinvertebrate condition. Landscape variables were selected rather than more proximal variables (e.g., in-stream water quality) given that constraints were defined relative to potential impacts on biological condition that are typically beyond the scope of management intervention or where costs to mitigate are likely prohibitive. Further, channel modification was not chosen as a predictor because it narrowly described constraints relative to our definition, i.e., urbanization was more inclusive of constraints, whereas modified channels may or may not be constrained. Overall, the model was associative by design and not descriptive of immediate causes of poor biological condition. We assumed that deviation of observed scores from the model predictions (i.e., residuals) could be used to describe in-stream factors associated with condition for follow-up analysis.</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quantregForest package for the R Statistical Programming Language was used to develop the landscape model using the default settings, with the exception that out of bag estimates were used for model predictions</w:t>
      </w:r>
      <w:r>
        <w:t xml:space="preserve"> </w:t>
      </w:r>
      <w:r>
        <w:t xml:space="preserve">(Meinshausen</w:t>
      </w:r>
      <w:r>
        <w:t xml:space="preserve"> </w:t>
      </w:r>
      <w:hyperlink w:anchor="ref-Meinshausen17">
        <w:r>
          <w:rPr>
            <w:rStyle w:val="Hyperlink"/>
          </w:rPr>
          <w:t xml:space="preserve">2017</w:t>
        </w:r>
      </w:hyperlink>
      <w:r>
        <w:t xml:space="preserve">; RDCT (R Development Core Team)</w:t>
      </w:r>
      <w:r>
        <w:t xml:space="preserve"> </w:t>
      </w:r>
      <w:hyperlink w:anchor="ref-RDCT18">
        <w:r>
          <w:rPr>
            <w:rStyle w:val="Hyperlink"/>
          </w:rPr>
          <w:t xml:space="preserve">2018</w:t>
        </w:r>
      </w:hyperlink>
      <w:r>
        <w:t xml:space="preserve">)</w:t>
      </w:r>
      <w:r>
        <w:t xml:space="preserve">.</w:t>
      </w:r>
    </w:p>
    <w:p>
      <w:pPr>
        <w:pStyle w:val="BodyText"/>
      </w:pPr>
      <w:r>
        <w:t xml:space="preserve">We stratified sample data to ensure sufficient representation of landscape gradients across major regions in the state and across percentiles of catchment imperviousness (Figure</w:t>
      </w:r>
      <w:r>
        <w:t xml:space="preserve"> </w:t>
      </w:r>
      <w:r>
        <w:t xml:space="preserve">1</w:t>
      </w:r>
      <w:r>
        <w:t xml:space="preserve">). Calibration data for the landscape model were obtained from a random selection of 75% of segments with observed CSCI scores across this stratification and where sufficient data were available in StreamCat (n = 1965 segments).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observed and predicted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The influence of the key decision points on the extent of segment classifications created by the landscape model was evaluated.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Relative site scores were determind based on location of the observed score to the range of expected CSCI scores.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relative site score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Results from the statewide model were used to assign one of four constraint classes described above to every stream segment in the state. Although these classes defined an expectation of biological integrity relative to the landscape, they do not provide guidance on how sites could be managed given observed bioassessment scores relative to the modelled expectation. For example, managers may prioritize sites with bioassessment scores that are above the modelled expectation differently than those that are scoring within the ranges predicted by the model. Alternatively, a site scoring as expected in an unconstrained segment could be prioritized differently than a site scoring as expected in a constrained segment. The statewide model only provides context for an observed score, whereas management priorities relative to modelled expectations must be separately defined.</w:t>
      </w:r>
    </w:p>
    <w:p>
      <w:pPr>
        <w:pStyle w:val="BodyText"/>
      </w:pPr>
      <w:r>
        <w:t xml:space="preserve">A regional application of the statewide results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A strong land-use gradient occurs in the SGR watershed that creates challenges for managing stream condition (Figure</w:t>
      </w:r>
      <w:r>
        <w:t xml:space="preserve"> </w:t>
      </w:r>
      <w:r>
        <w:t xml:space="preserve">3</w:t>
      </w:r>
      <w:r>
        <w:t xml:space="preserve">).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 (Table</w:t>
      </w:r>
      <w:r>
        <w:t xml:space="preserve"> </w:t>
      </w:r>
      <w:r>
        <w:t xml:space="preserve">3</w:t>
      </w:r>
      <w:r>
        <w:t xml:space="preserve">):</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S2, left side). The three priorities were then assigned a low, medium, or high importance for the scoring possibilities that could occur from the landscape model (Figure S2,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 Table</w:t>
      </w:r>
      <w:r>
        <w:t xml:space="preserve"> </w:t>
      </w:r>
      <w:r>
        <w:t xml:space="preserve">3</w:t>
      </w:r>
      <w:r>
        <w:t xml:space="preserve"> </w:t>
      </w:r>
      <w:r>
        <w:t xml:space="preserve">shows examples of the priority recommendations and sites for which they applied.</w:t>
      </w:r>
    </w:p>
    <w:p>
      <w:pPr>
        <w:pStyle w:val="BodyText"/>
      </w:pPr>
      <w:r>
        <w:t xml:space="preserve">The outcomes of these assignments were visualized in an interactive and online application, the Stream Classification and Priority Explorer (SCAPE, Figure S3,</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hyperlink w:anchor="ref-Beck18c">
        <w:r>
          <w:rPr>
            <w:rStyle w:val="Hyperlink"/>
          </w:rPr>
          <w:t xml:space="preserve">b</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4</w:t>
      </w:r>
      <w:r>
        <w:t xml:space="preserve">, Figure S4). Agreement between observed and predicted values for the entire calibration dataset was r = 0.75 (Pearson) and RMSE = 0.17. The intercept and slope for a regression between observed and predicted values were 0.04 and 0.93, suggesting minimal bias of predictions.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region) (Table</w:t>
      </w:r>
      <w:r>
        <w:t xml:space="preserve"> </w:t>
      </w:r>
      <w:r>
        <w:t xml:space="preserve">4</w:t>
      </w:r>
      <w:r>
        <w:t xml:space="preserve">, Figure S5).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0.57 with observed values in the calibration dataset and 0.53 in the validation dataset. Model performance was weakest for the Sierra Nevada region, where timber harvesting, rather than urban or agricultural development, is the most widespread stressor. A slight bias in model predictions was observed for the Central Valley and North Coast, where the former was over-predicted and the latter was under-predicted (Figure S4).</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5</w:t>
      </w:r>
      <w:r>
        <w:t xml:space="preserve">). Likely unconstrained streams were common in the Sierra Nevada (50%), North Coast (46%), and Desert/Modoc (46%) regions, whereas likely constrained were relatively abundant in the Central Valley (22%) and South Coast (15%) regions. However, constrained and unconstrained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6</w:t>
      </w:r>
      <w:r>
        <w:t xml:space="preserve">). Similar patterns were observed within regions, although a slightly larger percentage of sites in the Central Valley were under-scoring compared to the other regions, which may have been caused by a slight bias of over-predicting in this region. Over-scoring sites were slightly more common in certain regions (i.e., the South Coast and Sierra Nevada regions) than others (i.e., the Chaparral, Central Valley, and Desert/Modoc regions).</w:t>
      </w:r>
    </w:p>
    <w:p>
      <w:pPr>
        <w:pStyle w:val="BodyText"/>
      </w:pPr>
      <w:r>
        <w:t xml:space="preserve">Changing key decision points of the landscape model affected the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effects of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a context of expectations consistent with the strong land use gradient in the watershed (Figure</w:t>
      </w:r>
      <w:r>
        <w:t xml:space="preserve"> </w:t>
      </w:r>
      <w:r>
        <w:t xml:space="preserve">6</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6</w:t>
      </w:r>
      <w:r>
        <w:t xml:space="preserve">b).</w:t>
      </w:r>
    </w:p>
    <w:p>
      <w:pPr>
        <w:pStyle w:val="BodyText"/>
      </w:pPr>
      <w:r>
        <w:t xml:space="preserve">Using the same classification decision points described above for the statewide model, only six sites were under-scoring (two likely unconstrained and four likely constrained) and eight sites were over-scoring (five likely constrained, one possibly unconstrained, and two likely unconstrained) (Figure</w:t>
      </w:r>
      <w:r>
        <w:t xml:space="preserve"> </w:t>
      </w:r>
      <w:r>
        <w:t xml:space="preserve">7</w:t>
      </w:r>
      <w:r>
        <w:t xml:space="preserve">, top). One of the under-scoring sites in the likely unconstrained class was below the CSCI threshold (Figure</w:t>
      </w:r>
      <w:r>
        <w:t xml:space="preserve"> </w:t>
      </w:r>
      <w:r>
        <w:t xml:space="preserve">6</w:t>
      </w:r>
      <w:r>
        <w:t xml:space="preserve">). One site scoring as expected in the possibly unconstrained class was below the chosen CSCI threshold, whereas none of the constrained (possibly or likely) sites were above the threshold.</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S2, Table</w:t>
      </w:r>
      <w:r>
        <w:t xml:space="preserve"> </w:t>
      </w:r>
      <w:r>
        <w:t xml:space="preserve">3</w:t>
      </w:r>
      <w:r>
        <w:t xml:space="preserve">).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7</w:t>
      </w:r>
      <w:r>
        <w:t xml:space="preserve">, bottom).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The prevalence of degraded streams in California requires the use of 1) assessment tools that can accurately evaluate condition, and 2) tools that can provide a context for evaluating the range of likely scores associated with different settings. The landscape model was developed with these needs in mind to better inform application of the CSCI for decision-making in the context of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The landscape model can inform the interpretation of biotic condition and is a decision-making tool that can help identify where management goals could be focused.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criteria</w:t>
      </w:r>
      <w:r>
        <w:t xml:space="preserve">”</w:t>
      </w:r>
      <w:r>
        <w:t xml:space="preserve"> </w:t>
      </w:r>
      <w:r>
        <w:t xml:space="preserve">under the Clean Water Act). Regulatory management for biological integrity involves the protection of sites meeting biological objectives and the restoration of sites that do not meet biological objectives. The selection of appropriate management actions for streams requires the consideration of the physical and chemical condition of streams concurrent with biological monitoring results. The landscape model can evaluate sites that are or are not meeting biological objectives relative to their modeled condition.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S2, site types 5, 9, 10, or 13), regulatory actions may be associated with protecting that condition and could be implemented in the short-term to prevent degradation. This flexibility is not intended to exclude sites from consideration that are less likely to achieve biological objectives, but rather to facilitate the decision-making process through a more transparent application of the model in a regulatory context. Moreover, the landscape model could support the development of Tiered Aquatic Life Uses (TALU,</w:t>
      </w:r>
      <w:r>
        <w:t xml:space="preserve"> </w:t>
      </w:r>
      <w:r>
        <w:t xml:space="preserve">Davies and Jackson (</w:t>
      </w:r>
      <w:hyperlink w:anchor="ref-Davies06">
        <w:r>
          <w:rPr>
            <w:rStyle w:val="Hyperlink"/>
          </w:rPr>
          <w:t xml:space="preserve">2006</w:t>
        </w:r>
      </w:hyperlink>
      <w:r>
        <w:t xml:space="preserve">)</w:t>
      </w:r>
      <w:r>
        <w:t xml:space="preserve">), such as identifying locations where tiered uses could apply. However, the model is not intended, nor is it is sufficient, as a standalone tool for defining tiered uses.</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of the regulatory context,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context for the information, enabling the potential for both regulatory and non-regulatory applications.</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primary objective of developing the landscape model was to provide a screening tool for exploring biological constraints to facilitate a discussion of management options relative to site contexts. As described above, the model can support regulatory application, but it is not fully adequate to assess whether a site can attain a particular use. Instead, the model can help identify patterns among monitoring sites where more intensive analyses may be appropriate or assist with decisions of where alternative uses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context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context of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development of the SCAPE application was also critical for applying the landscape model by synthesizing a large volume of bioassessment data. The application provided a means of demonstrating core concepts of the model and allowed stakeholders to explore the key decision points that affect the model output, specifically related to changing certainties in the CSCI score predictions (e.g., 10th and 90th percentile predictions) and the ability to explore alternative thresholds for biological objectives (e.g., 10th percentile of reference scores that defined constraint classes).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context (i.e., Figure</w:t>
      </w:r>
      <w:r>
        <w:t xml:space="preserve"> </w:t>
      </w:r>
      <w:r>
        <w:t xml:space="preserve">6</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or other measures of channel morphology may be insufficient by failing to recognize constraints on urban streams with natural morphology. In the context of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8</w:t>
      </w:r>
      <w:r>
        <w:t xml:space="preserve">). The CSCI score is 0.61 indicating degraded biological integrity, whereas the in-stream physical habitat is unaltered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understanding landscape factors that might constrain each segment. The approach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An ESRI shapefile of model results mapped to stream reaches in California is provided at</w:t>
      </w:r>
      <w:r>
        <w:t xml:space="preserve"> </w:t>
      </w:r>
      <w:r>
        <w:t xml:space="preserve">Beck (</w:t>
      </w:r>
      <w:hyperlink w:anchor="ref-Beck18d">
        <w:r>
          <w:rPr>
            <w:rStyle w:val="Hyperlink"/>
          </w:rPr>
          <w:t xml:space="preserve">2018</w:t>
        </w:r>
      </w:hyperlink>
      <w:hyperlink w:anchor="ref-Beck18d">
        <w:r>
          <w:rPr>
            <w:rStyle w:val="Hyperlink"/>
          </w:rPr>
          <w:t xml:space="preserve">a</w:t>
        </w:r>
      </w:hyperlink>
      <w:r>
        <w:t xml:space="preserve">)</w:t>
      </w:r>
      <w:r>
        <w:t xml:space="preserve">. The SCAPE model application website is available at</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hyperlink w:anchor="ref-Beck18c">
        <w:r>
          <w:rPr>
            <w:rStyle w:val="Hyperlink"/>
          </w:rPr>
          <w:t xml:space="preserve">b</w:t>
        </w:r>
      </w:hyperlink>
      <w:r>
        <w:t xml:space="preserve">)</w:t>
      </w:r>
      <w:r>
        <w:t xml:space="preserve">. Additional figures and tables are available in the supplement.</w:t>
      </w:r>
    </w:p>
    <w:p>
      <w:pPr>
        <w:pStyle w:val="Heading1"/>
      </w:pPr>
      <w:bookmarkStart w:id="47" w:name="author-contributions"/>
      <w:r>
        <w:t xml:space="preserve">Author contributions</w:t>
      </w:r>
      <w:bookmarkEnd w:id="47"/>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8" w:name="acknowledgments"/>
      <w:r>
        <w:t xml:space="preserve">Acknowledgments</w:t>
      </w:r>
      <w:bookmarkEnd w:id="48"/>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9" w:name="figures"/>
      <w:r>
        <w:t xml:space="preserve">Figures</w:t>
      </w:r>
      <w:bookmarkEnd w:id="49"/>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486400" cy="7315200"/>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jpeg" id="0" name="Picture"/>
                    <pic:cNvPicPr>
                      <a:picLocks noChangeArrowheads="1" noChangeAspect="1"/>
                    </pic:cNvPicPr>
                  </pic:nvPicPr>
                  <pic:blipFill>
                    <a:blip r:embed="rId5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57600" cy="5029200"/>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3"/>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4"/>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jpeg" id="0" name="Picture"/>
                    <pic:cNvPicPr>
                      <a:picLocks noChangeArrowheads="1" noChangeAspect="1"/>
                    </pic:cNvPicPr>
                  </pic:nvPicPr>
                  <pic:blipFill>
                    <a:blip r:embed="rId55"/>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2, Table 3)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jpeg" id="0" name="Picture"/>
                    <pic:cNvPicPr>
                      <a:picLocks noChangeArrowheads="1" noChangeAspect="1"/>
                    </pic:cNvPicPr>
                  </pic:nvPicPr>
                  <pic:blipFill>
                    <a:blip r:embed="rId56"/>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S2, Table</w:t>
      </w:r>
      <w:r>
        <w:t xml:space="preserve"> </w:t>
      </w:r>
      <w:r>
        <w:t xml:space="preserve">3</w:t>
      </w:r>
      <w:r>
        <w:t xml:space="preserve">)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8" w:name="tables"/>
      <w:r>
        <w:t xml:space="preserve">Tables</w:t>
      </w:r>
      <w:bookmarkEnd w:id="58"/>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S2). Actions were recommended in addition to baseline monitoring and maintenance that occurred at all sites.</w:t>
      </w:r>
    </w:p>
    <w:tbl>
      <w:tblPr>
        <w:tblStyle w:val="Table"/>
        <w:tblW w:type="pct" w:w="0.0"/>
        <w:tblLook w:firstRow="1"/>
        <w:tblCaption w:val="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2). Actions were recommended in addition to baseline monitoring and maintenance that occurred at all sites."/>
      </w:tblPr>
      <w:tblGrid/>
      <w:tr>
        <w:trPr>
          <w:cnfStyle w:firstRow="1"/>
        </w:trPr>
        <w:tc>
          <w:tcPr>
            <w:tcBorders>
              <w:bottom w:val="single"/>
            </w:tcBorders>
            <w:vAlign w:val="bottom"/>
          </w:tcPr>
          <w:p>
            <w:pPr>
              <w:pStyle w:val="Compact"/>
              <w:jc w:val="left"/>
            </w:pPr>
            <w:r>
              <w:t xml:space="preserve">Action</w:t>
            </w:r>
          </w:p>
        </w:tc>
        <w:tc>
          <w:tcPr>
            <w:tcBorders>
              <w:bottom w:val="single"/>
            </w:tcBorders>
            <w:vAlign w:val="bottom"/>
          </w:tcPr>
          <w:p>
            <w:pPr>
              <w:pStyle w:val="Compact"/>
              <w:jc w:val="left"/>
            </w:pPr>
            <w:r>
              <w:t xml:space="preserve">Example activity</w:t>
            </w:r>
          </w:p>
        </w:tc>
        <w:tc>
          <w:tcPr>
            <w:tcBorders>
              <w:bottom w:val="single"/>
            </w:tcBorders>
            <w:vAlign w:val="bottom"/>
          </w:tcPr>
          <w:p>
            <w:pPr>
              <w:pStyle w:val="Compact"/>
              <w:jc w:val="left"/>
            </w:pPr>
            <w:r>
              <w:t xml:space="preserve">Example high priority site</w:t>
            </w:r>
          </w:p>
        </w:tc>
        <w:tc>
          <w:tcPr>
            <w:tcBorders>
              <w:bottom w:val="single"/>
            </w:tcBorders>
            <w:vAlign w:val="bottom"/>
          </w:tcPr>
          <w:p>
            <w:pPr>
              <w:pStyle w:val="Compact"/>
              <w:jc w:val="left"/>
            </w:pPr>
            <w:r>
              <w:t xml:space="preserve">Example low priority site</w:t>
            </w:r>
          </w:p>
        </w:tc>
      </w:tr>
      <w:tr>
        <w:tc>
          <w:p>
            <w:pPr>
              <w:pStyle w:val="Compact"/>
              <w:jc w:val="left"/>
            </w:pPr>
            <w:r>
              <w:t xml:space="preserve">Investigate</w:t>
            </w:r>
          </w:p>
        </w:tc>
        <w:tc>
          <w:p>
            <w:pPr>
              <w:pStyle w:val="Compact"/>
              <w:jc w:val="left"/>
            </w:pPr>
            <w:r>
              <w:t xml:space="preserve">Higher frequency of sampling, evaluate additional data (e.g., habitat)</w:t>
            </w:r>
          </w:p>
        </w:tc>
        <w:tc>
          <w:p>
            <w:pPr>
              <w:pStyle w:val="Compact"/>
              <w:jc w:val="left"/>
            </w:pPr>
            <w:r>
              <w:t xml:space="preserve">Sites scoring outside prediction interval</w:t>
            </w:r>
          </w:p>
        </w:tc>
        <w:tc>
          <w:p>
            <w:pPr>
              <w:pStyle w:val="Compact"/>
              <w:jc w:val="left"/>
            </w:pPr>
            <w:r>
              <w:t xml:space="preserve">Sites scoring as expected</w:t>
            </w:r>
          </w:p>
        </w:tc>
      </w:tr>
      <w:tr>
        <w:tc>
          <w:p>
            <w:pPr>
              <w:pStyle w:val="Compact"/>
              <w:jc w:val="left"/>
            </w:pPr>
            <w:r>
              <w:t xml:space="preserve">Protect</w:t>
            </w:r>
          </w:p>
        </w:tc>
        <w:tc>
          <w:p>
            <w:pPr>
              <w:pStyle w:val="Compact"/>
              <w:jc w:val="left"/>
            </w:pPr>
            <w:r>
              <w:t xml:space="preserve">Extra scrutiny of proposed impacts</w:t>
            </w:r>
          </w:p>
        </w:tc>
        <w:tc>
          <w:p>
            <w:pPr>
              <w:pStyle w:val="Compact"/>
              <w:jc w:val="left"/>
            </w:pPr>
            <w:r>
              <w:t xml:space="preserve">Unconstrained sites</w:t>
            </w:r>
          </w:p>
        </w:tc>
        <w:tc>
          <w:p>
            <w:pPr>
              <w:pStyle w:val="Compact"/>
              <w:jc w:val="left"/>
            </w:pPr>
            <w:r>
              <w:t xml:space="preserve">Constrained sites</w:t>
            </w:r>
          </w:p>
        </w:tc>
      </w:tr>
      <w:tr>
        <w:tc>
          <w:p>
            <w:pPr>
              <w:pStyle w:val="Compact"/>
              <w:jc w:val="left"/>
            </w:pPr>
            <w:r>
              <w:t xml:space="preserve">Restore</w:t>
            </w:r>
          </w:p>
        </w:tc>
        <w:tc>
          <w:p>
            <w:pPr>
              <w:pStyle w:val="Compact"/>
              <w:jc w:val="left"/>
            </w:pPr>
            <w:r>
              <w:t xml:space="preserve">Make funding recommendations, prioritize TMDL development</w:t>
            </w:r>
          </w:p>
        </w:tc>
        <w:tc>
          <w:p>
            <w:pPr>
              <w:pStyle w:val="Compact"/>
              <w:jc w:val="left"/>
            </w:pPr>
            <w:r>
              <w:t xml:space="preserve">Low-scoring unconstrained sites</w:t>
            </w:r>
          </w:p>
        </w:tc>
        <w:tc>
          <w:p>
            <w:pPr>
              <w:pStyle w:val="Compact"/>
              <w:jc w:val="left"/>
            </w:pPr>
            <w:r>
              <w:t xml:space="preserve">Low-scoring cosntrained sites</w:t>
            </w:r>
          </w:p>
        </w:tc>
      </w:tr>
    </w:tbl>
    <w:p>
      <w:pPr>
        <w:pStyle w:val="TableCaption"/>
      </w:pPr>
      <w:r>
        <w:t xml:space="preserve">Table 4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4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0.04</w:t>
            </w:r>
          </w:p>
        </w:tc>
        <w:tc>
          <w:p>
            <w:pPr>
              <w:pStyle w:val="Compact"/>
              <w:jc w:val="left"/>
            </w:pPr>
            <w:r>
              <w:t xml:space="preserve">0.93</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0.03</w:t>
            </w:r>
          </w:p>
        </w:tc>
        <w:tc>
          <w:p>
            <w:pPr>
              <w:pStyle w:val="Compact"/>
              <w:jc w:val="left"/>
            </w:pPr>
            <w:r>
              <w:t xml:space="preserve">0.92</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0.05</w:t>
            </w:r>
          </w:p>
        </w:tc>
        <w:tc>
          <w:p>
            <w:pPr>
              <w:pStyle w:val="Compact"/>
              <w:jc w:val="left"/>
            </w:pPr>
            <w:r>
              <w:t xml:space="preserve">0.81</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0.15</w:t>
            </w:r>
          </w:p>
        </w:tc>
        <w:tc>
          <w:p>
            <w:pPr>
              <w:pStyle w:val="Compact"/>
              <w:jc w:val="left"/>
            </w:pPr>
            <w:r>
              <w:t xml:space="preserve">0.79</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0.12</w:t>
            </w:r>
          </w:p>
        </w:tc>
        <w:tc>
          <w:p>
            <w:pPr>
              <w:pStyle w:val="Compact"/>
              <w:jc w:val="left"/>
            </w:pPr>
            <w:r>
              <w:t xml:space="preserve">0.86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0.11</w:t>
            </w:r>
          </w:p>
        </w:tc>
        <w:tc>
          <w:p>
            <w:pPr>
              <w:pStyle w:val="Compact"/>
              <w:jc w:val="left"/>
            </w:pPr>
            <w:r>
              <w:t xml:space="preserve">0.87</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0.12</w:t>
            </w:r>
          </w:p>
        </w:tc>
        <w:tc>
          <w:p>
            <w:pPr>
              <w:pStyle w:val="Compact"/>
              <w:jc w:val="left"/>
            </w:pPr>
            <w:r>
              <w:t xml:space="preserve">0.88</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0.07</w:t>
            </w:r>
          </w:p>
        </w:tc>
        <w:tc>
          <w:p>
            <w:pPr>
              <w:pStyle w:val="Compact"/>
              <w:jc w:val="left"/>
            </w:pPr>
            <w:r>
              <w:t xml:space="preserve">0.90</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-0.04</w:t>
            </w:r>
          </w:p>
        </w:tc>
        <w:tc>
          <w:p>
            <w:pPr>
              <w:pStyle w:val="Compact"/>
              <w:jc w:val="left"/>
            </w:pPr>
            <w:r>
              <w:t xml:space="preserve">0.98</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0.16</w:t>
            </w:r>
          </w:p>
        </w:tc>
        <w:tc>
          <w:p>
            <w:pPr>
              <w:pStyle w:val="Compact"/>
              <w:jc w:val="left"/>
            </w:pPr>
            <w:r>
              <w:t xml:space="preserve">0.60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0.07</w:t>
            </w:r>
          </w:p>
        </w:tc>
        <w:tc>
          <w:p>
            <w:pPr>
              <w:pStyle w:val="Compact"/>
              <w:jc w:val="left"/>
            </w:pPr>
            <w:r>
              <w:t xml:space="preserve">0.83</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0.00</w:t>
            </w:r>
          </w:p>
        </w:tc>
        <w:tc>
          <w:p>
            <w:pPr>
              <w:pStyle w:val="Compact"/>
              <w:jc w:val="left"/>
            </w:pPr>
            <w:r>
              <w:t xml:space="preserve">0.98</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0.17</w:t>
            </w:r>
          </w:p>
        </w:tc>
        <w:tc>
          <w:p>
            <w:pPr>
              <w:pStyle w:val="Compact"/>
              <w:jc w:val="left"/>
            </w:pPr>
            <w:r>
              <w:t xml:space="preserve">0.81</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0.57</w:t>
            </w:r>
          </w:p>
        </w:tc>
        <w:tc>
          <w:p>
            <w:pPr>
              <w:pStyle w:val="Compact"/>
              <w:jc w:val="left"/>
            </w:pPr>
            <w:r>
              <w:t xml:space="preserve">0.41</w:t>
            </w:r>
          </w:p>
        </w:tc>
      </w:tr>
    </w:tbl>
    <w:p>
      <w:pPr>
        <w:pStyle w:val="BodyText"/>
      </w:pPr>
      <w:r>
        <w:rPr>
          <w:i/>
        </w:rPr>
        <w:t xml:space="preserve">Table</w:t>
      </w:r>
      <w:r>
        <w:rPr>
          <w:i/>
        </w:rPr>
        <w:t xml:space="preserve"> </w:t>
      </w:r>
      <w:r>
        <w:rPr>
          <w:i/>
        </w:rPr>
        <w:t xml:space="preserve">5</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6</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69 (13)</w:t>
            </w:r>
          </w:p>
        </w:tc>
      </w:tr>
    </w:tbl>
    <w:p>
      <w:pPr>
        <w:pStyle w:val="Heading1"/>
      </w:pPr>
      <w:bookmarkStart w:id="59" w:name="references"/>
      <w:r>
        <w:t xml:space="preserve">References</w:t>
      </w:r>
      <w:bookmarkEnd w:id="59"/>
    </w:p>
    <w:bookmarkStart w:id="182" w:name="refs"/>
    <w:bookmarkStart w:id="61"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0">
        <w:r>
          <w:rPr>
            <w:rStyle w:val="Hyperlink"/>
          </w:rPr>
          <w:t xml:space="preserve">https://doi.org/10.1046/j.1365-2427.1997.d01-546.x</w:t>
        </w:r>
      </w:hyperlink>
      <w:r>
        <w:t xml:space="preserve">.</w:t>
      </w:r>
    </w:p>
    <w:bookmarkEnd w:id="61"/>
    <w:bookmarkStart w:id="63"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(5):908–17.</w:t>
      </w:r>
      <w:r>
        <w:t xml:space="preserve"> </w:t>
      </w:r>
      <w:hyperlink r:id="rId62">
        <w:r>
          <w:rPr>
            <w:rStyle w:val="Hyperlink"/>
          </w:rPr>
          <w:t xml:space="preserve">https://doi.org/10.1111/j.1365-2427.2006.01685.x</w:t>
        </w:r>
      </w:hyperlink>
      <w:r>
        <w:t xml:space="preserve">.</w:t>
      </w:r>
    </w:p>
    <w:bookmarkEnd w:id="63"/>
    <w:bookmarkStart w:id="64" w:name="ref-Beck18d"/>
    <w:p>
      <w:pPr>
        <w:pStyle w:val="Bibliography"/>
      </w:pPr>
      <w:r>
        <w:t xml:space="preserve">Beck, M. W. 2018a. “Constrained streams for biological integrity in California. Knowledge Network for Biocomplexity. urn:uuid:75411f50-32ed-42a5-bbfd-26833c7a441f.”</w:t>
      </w:r>
    </w:p>
    <w:bookmarkEnd w:id="64"/>
    <w:bookmarkStart w:id="66" w:name="ref-Beck18c"/>
    <w:p>
      <w:pPr>
        <w:pStyle w:val="Bibliography"/>
      </w:pPr>
      <w:r>
        <w:t xml:space="preserve">———. 2018b. “SCCWRP/SCAPE: v1.0 (Version 1.0). Zenodo,</w:t>
      </w:r>
      <w:r>
        <w:t xml:space="preserve"> </w:t>
      </w:r>
      <w:hyperlink r:id="rId65">
        <w:r>
          <w:rPr>
            <w:rStyle w:val="Hyperlink"/>
          </w:rPr>
          <w:t xml:space="preserve">http://doi.org/10.5281/zenodo.1218121</w:t>
        </w:r>
      </w:hyperlink>
      <w:r>
        <w:t xml:space="preserve">.”</w:t>
      </w:r>
    </w:p>
    <w:bookmarkEnd w:id="66"/>
    <w:bookmarkStart w:id="68"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7">
        <w:r>
          <w:rPr>
            <w:rStyle w:val="Hyperlink"/>
          </w:rPr>
          <w:t xml:space="preserve">https://doi.org/10.1577/M06-174.1</w:t>
        </w:r>
      </w:hyperlink>
      <w:r>
        <w:t xml:space="preserve">.</w:t>
      </w:r>
    </w:p>
    <w:bookmarkEnd w:id="68"/>
    <w:bookmarkStart w:id="70" w:name="ref-Bernhardt07"/>
    <w:p>
      <w:pPr>
        <w:pStyle w:val="Bibliography"/>
      </w:pPr>
      <w:r>
        <w:t xml:space="preserve">Bernhardt, E. S., E. B. Sudduth, M. A. Palmer, J. D. Allan, J. L. Meyer, G. Alexander, J. Follastad-Shah, et al. 2007. “Restoring Rivers One Reach at a Time: Results from a Survey of U.S. River Restoration Practitioners.”</w:t>
      </w:r>
      <w:r>
        <w:t xml:space="preserve"> </w:t>
      </w:r>
      <w:r>
        <w:rPr>
          <w:i/>
        </w:rPr>
        <w:t xml:space="preserve">Restoration Ecology</w:t>
      </w:r>
      <w:r>
        <w:t xml:space="preserve"> </w:t>
      </w:r>
      <w:r>
        <w:t xml:space="preserve">15 (3):482–93.</w:t>
      </w:r>
      <w:r>
        <w:t xml:space="preserve"> </w:t>
      </w:r>
      <w:hyperlink r:id="rId69">
        <w:r>
          <w:rPr>
            <w:rStyle w:val="Hyperlink"/>
          </w:rPr>
          <w:t xml:space="preserve">https://doi.org/10.1111/j.1526-100X.2007.00244.x</w:t>
        </w:r>
      </w:hyperlink>
      <w:r>
        <w:t xml:space="preserve">.</w:t>
      </w:r>
    </w:p>
    <w:bookmarkEnd w:id="70"/>
    <w:bookmarkStart w:id="72"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71">
        <w:r>
          <w:rPr>
            <w:rStyle w:val="Hyperlink"/>
          </w:rPr>
          <w:t xml:space="preserve">https://www.waterboards.ca.gov/sandiego/water_issues/programs/303d_list/docs/Staff_Report_101216.pdf</w:t>
        </w:r>
      </w:hyperlink>
      <w:r>
        <w:t xml:space="preserve">.</w:t>
      </w:r>
    </w:p>
    <w:bookmarkEnd w:id="72"/>
    <w:bookmarkStart w:id="73"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3"/>
    <w:bookmarkStart w:id="75"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(4):407–19.</w:t>
      </w:r>
      <w:r>
        <w:t xml:space="preserve"> </w:t>
      </w:r>
      <w:hyperlink r:id="rId74">
        <w:r>
          <w:rPr>
            <w:rStyle w:val="Hyperlink"/>
          </w:rPr>
          <w:t xml:space="preserve">https://doi.org/10.1177/0739456X03022004007</w:t>
        </w:r>
      </w:hyperlink>
      <w:r>
        <w:t xml:space="preserve">.</w:t>
      </w:r>
    </w:p>
    <w:bookmarkEnd w:id="75"/>
    <w:bookmarkStart w:id="77"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(4):1051–69.</w:t>
      </w:r>
      <w:r>
        <w:t xml:space="preserve"> </w:t>
      </w:r>
      <w:hyperlink r:id="rId76">
        <w:r>
          <w:rPr>
            <w:rStyle w:val="Hyperlink"/>
          </w:rPr>
          <w:t xml:space="preserve">https://doi.org/10.1899/08-153.1</w:t>
        </w:r>
      </w:hyperlink>
      <w:r>
        <w:t xml:space="preserve">.</w:t>
      </w:r>
    </w:p>
    <w:bookmarkEnd w:id="77"/>
    <w:bookmarkStart w:id="79"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8">
        <w:r>
          <w:rPr>
            <w:rStyle w:val="Hyperlink"/>
          </w:rPr>
          <w:t xml:space="preserve">https://doi.org/10.1016/j.landurbplan.2012.07.009</w:t>
        </w:r>
      </w:hyperlink>
      <w:r>
        <w:t xml:space="preserve">.</w:t>
      </w:r>
    </w:p>
    <w:bookmarkEnd w:id="79"/>
    <w:bookmarkStart w:id="81"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80">
        <w:r>
          <w:rPr>
            <w:rStyle w:val="Hyperlink"/>
          </w:rPr>
          <w:t xml:space="preserve">https://doi.org/10.1007/s10661-014-4132-8</w:t>
        </w:r>
      </w:hyperlink>
      <w:r>
        <w:t xml:space="preserve">.</w:t>
      </w:r>
    </w:p>
    <w:bookmarkEnd w:id="81"/>
    <w:bookmarkStart w:id="82"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82"/>
    <w:bookmarkStart w:id="84"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83">
        <w:r>
          <w:rPr>
            <w:rStyle w:val="Hyperlink"/>
          </w:rPr>
          <w:t xml:space="preserve">https://doi.org/10.1899/06-078.1</w:t>
        </w:r>
      </w:hyperlink>
      <w:r>
        <w:t xml:space="preserve">.</w:t>
      </w:r>
    </w:p>
    <w:bookmarkEnd w:id="84"/>
    <w:bookmarkStart w:id="86"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85">
        <w:r>
          <w:rPr>
            <w:rStyle w:val="Hyperlink"/>
          </w:rPr>
          <w:t xml:space="preserve">https://doi.org/10.1111/j.1526-100X.2007.00285.x</w:t>
        </w:r>
      </w:hyperlink>
      <w:r>
        <w:t xml:space="preserve">.</w:t>
      </w:r>
    </w:p>
    <w:bookmarkEnd w:id="86"/>
    <w:bookmarkStart w:id="88"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7">
        <w:r>
          <w:rPr>
            <w:rStyle w:val="Hyperlink"/>
          </w:rPr>
          <w:t xml:space="preserve">https://doi.org/10.1007/s10661-008-0256-z</w:t>
        </w:r>
      </w:hyperlink>
      <w:r>
        <w:t xml:space="preserve">.</w:t>
      </w:r>
    </w:p>
    <w:bookmarkEnd w:id="88"/>
    <w:bookmarkStart w:id="90"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9">
        <w:r>
          <w:rPr>
            <w:rStyle w:val="Hyperlink"/>
          </w:rPr>
          <w:t xml:space="preserve">https://doi.org/10.1016/j.ecolind.2013.07.006</w:t>
        </w:r>
      </w:hyperlink>
      <w:r>
        <w:t xml:space="preserve">.</w:t>
      </w:r>
    </w:p>
    <w:bookmarkEnd w:id="90"/>
    <w:bookmarkStart w:id="92"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91">
        <w:r>
          <w:rPr>
            <w:rStyle w:val="Hyperlink"/>
          </w:rPr>
          <w:t xml:space="preserve">https://doi.org/10.1086/678701</w:t>
        </w:r>
      </w:hyperlink>
      <w:r>
        <w:t xml:space="preserve">.</w:t>
      </w:r>
    </w:p>
    <w:bookmarkEnd w:id="92"/>
    <w:bookmarkStart w:id="94"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93">
        <w:r>
          <w:rPr>
            <w:rStyle w:val="Hyperlink"/>
          </w:rPr>
          <w:t xml:space="preserve">https://doi.org/10.1002/rra.1053</w:t>
        </w:r>
      </w:hyperlink>
      <w:r>
        <w:t xml:space="preserve">.</w:t>
      </w:r>
    </w:p>
    <w:bookmarkEnd w:id="94"/>
    <w:bookmarkStart w:id="96"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95">
        <w:r>
          <w:rPr>
            <w:rStyle w:val="Hyperlink"/>
          </w:rPr>
          <w:t xml:space="preserve">https://doi.org/10.1899/0887-3593(2004)023%3C0599:BWRSUO%3E2.0.CO;2</w:t>
        </w:r>
      </w:hyperlink>
      <w:r>
        <w:t xml:space="preserve">.</w:t>
      </w:r>
    </w:p>
    <w:bookmarkEnd w:id="96"/>
    <w:bookmarkStart w:id="98"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7">
        <w:r>
          <w:rPr>
            <w:rStyle w:val="Hyperlink"/>
          </w:rPr>
          <w:t xml:space="preserve">https://doi.org/10.1111/j.1365-2427.2011.02696.x</w:t>
        </w:r>
      </w:hyperlink>
      <w:r>
        <w:t xml:space="preserve">.</w:t>
      </w:r>
    </w:p>
    <w:bookmarkEnd w:id="98"/>
    <w:bookmarkStart w:id="100" w:name="ref-Cuffney11"/>
    <w:p>
      <w:pPr>
        <w:pStyle w:val="Bibliography"/>
      </w:pPr>
      <w:r>
        <w:t xml:space="preserve">Cuffney, T. F., S. S. Qian, R. A. Brightbill, J. T. May, and I. R. Waite. 2011. “Response to King and Baker: Limitations on Threshold Detection and Cahracterization of Community Thresholds.”</w:t>
      </w:r>
      <w:r>
        <w:t xml:space="preserve"> </w:t>
      </w:r>
      <w:r>
        <w:rPr>
          <w:i/>
        </w:rPr>
        <w:t xml:space="preserve">Ecological Applications</w:t>
      </w:r>
      <w:r>
        <w:t xml:space="preserve"> </w:t>
      </w:r>
      <w:r>
        <w:t xml:space="preserve">21 (7):2840–5.</w:t>
      </w:r>
      <w:r>
        <w:t xml:space="preserve"> </w:t>
      </w:r>
      <w:hyperlink r:id="rId99">
        <w:r>
          <w:rPr>
            <w:rStyle w:val="Hyperlink"/>
          </w:rPr>
          <w:t xml:space="preserve">https://doi.org/10.2307/41416699</w:t>
        </w:r>
      </w:hyperlink>
      <w:r>
        <w:t xml:space="preserve">.</w:t>
      </w:r>
    </w:p>
    <w:bookmarkEnd w:id="100"/>
    <w:bookmarkStart w:id="101"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101"/>
    <w:bookmarkStart w:id="103"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2:150073.</w:t>
      </w:r>
      <w:r>
        <w:t xml:space="preserve"> </w:t>
      </w:r>
      <w:hyperlink r:id="rId102">
        <w:r>
          <w:rPr>
            <w:rStyle w:val="Hyperlink"/>
          </w:rPr>
          <w:t xml:space="preserve">https://doi.org/10.1038/sdata.2015.73</w:t>
        </w:r>
      </w:hyperlink>
      <w:r>
        <w:t xml:space="preserve">.</w:t>
      </w:r>
    </w:p>
    <w:bookmarkEnd w:id="103"/>
    <w:bookmarkStart w:id="104" w:name="ref-ESRI16"/>
    <w:p>
      <w:pPr>
        <w:pStyle w:val="Bibliography"/>
      </w:pPr>
      <w:r>
        <w:t xml:space="preserve">ESRI (Environmental Systems Research Institute). 2016. “ArcGIS v10.5.”</w:t>
      </w:r>
    </w:p>
    <w:bookmarkEnd w:id="104"/>
    <w:bookmarkStart w:id="106"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105">
        <w:r>
          <w:rPr>
            <w:rStyle w:val="Hyperlink"/>
          </w:rPr>
          <w:t xml:space="preserve">https://doi.org/10.1111/j.1752-1688.2000.tb05717.x</w:t>
        </w:r>
      </w:hyperlink>
      <w:r>
        <w:t xml:space="preserve">.</w:t>
      </w:r>
    </w:p>
    <w:bookmarkEnd w:id="106"/>
    <w:bookmarkStart w:id="107"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7"/>
    <w:bookmarkStart w:id="109"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8">
        <w:r>
          <w:rPr>
            <w:rStyle w:val="Hyperlink"/>
          </w:rPr>
          <w:t xml:space="preserve">https://doi.org/10.1007/s10661-017-6025-0</w:t>
        </w:r>
      </w:hyperlink>
      <w:r>
        <w:t xml:space="preserve">.</w:t>
      </w:r>
    </w:p>
    <w:bookmarkEnd w:id="109"/>
    <w:bookmarkStart w:id="110"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10"/>
    <w:bookmarkStart w:id="111"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11"/>
    <w:bookmarkStart w:id="113"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12">
        <w:r>
          <w:rPr>
            <w:rStyle w:val="Hyperlink"/>
          </w:rPr>
          <w:t xml:space="preserve">https://doi.org/10.1002/eap.1617</w:t>
        </w:r>
      </w:hyperlink>
      <w:r>
        <w:t xml:space="preserve">.</w:t>
      </w:r>
    </w:p>
    <w:bookmarkEnd w:id="113"/>
    <w:bookmarkStart w:id="115"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14">
        <w:r>
          <w:rPr>
            <w:rStyle w:val="Hyperlink"/>
          </w:rPr>
          <w:t xml:space="preserve">https://doi.org/10.1111/1752-1688.12372</w:t>
        </w:r>
      </w:hyperlink>
      <w:r>
        <w:t xml:space="preserve">.</w:t>
      </w:r>
    </w:p>
    <w:bookmarkEnd w:id="115"/>
    <w:bookmarkStart w:id="117"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16">
        <w:r>
          <w:rPr>
            <w:rStyle w:val="Hyperlink"/>
          </w:rPr>
          <w:t xml:space="preserve">https://doi.org/10.1086/697996</w:t>
        </w:r>
      </w:hyperlink>
      <w:r>
        <w:t xml:space="preserve">.</w:t>
      </w:r>
    </w:p>
    <w:bookmarkEnd w:id="117"/>
    <w:bookmarkStart w:id="119" w:name="ref-Hynes75"/>
    <w:p>
      <w:pPr>
        <w:pStyle w:val="Bibliography"/>
      </w:pPr>
      <w:r>
        <w:t xml:space="preserve">Hynes, H. B. N. 1975. “The Stream and Its Valley.”</w:t>
      </w:r>
      <w:r>
        <w:t xml:space="preserve"> </w:t>
      </w:r>
      <w:r>
        <w:rPr>
          <w:i/>
        </w:rPr>
        <w:t xml:space="preserve">SIL Proceedings, 1922-2010</w:t>
      </w:r>
      <w:r>
        <w:t xml:space="preserve"> </w:t>
      </w:r>
      <w:r>
        <w:t xml:space="preserve">19 (1):1–15.</w:t>
      </w:r>
      <w:r>
        <w:t xml:space="preserve"> </w:t>
      </w:r>
      <w:hyperlink r:id="rId118">
        <w:r>
          <w:rPr>
            <w:rStyle w:val="Hyperlink"/>
          </w:rPr>
          <w:t xml:space="preserve">https://doi.org/10.1080/03680770.1974.11896033</w:t>
        </w:r>
      </w:hyperlink>
      <w:r>
        <w:t xml:space="preserve">.</w:t>
      </w:r>
    </w:p>
    <w:bookmarkEnd w:id="119"/>
    <w:bookmarkStart w:id="121" w:name="ref-Johnson97"/>
    <w:p>
      <w:pPr>
        <w:pStyle w:val="Bibliography"/>
      </w:pPr>
      <w:r>
        <w:t xml:space="preserve">Johnson, L., C. Richards, G. Host, and J. Arthur. 1997. “Landscape Influences on Water Chemistry in Midwestern Stream Ecosystems.”</w:t>
      </w:r>
      <w:r>
        <w:t xml:space="preserve"> </w:t>
      </w:r>
      <w:r>
        <w:rPr>
          <w:i/>
        </w:rPr>
        <w:t xml:space="preserve">Freshwater Biology</w:t>
      </w:r>
      <w:r>
        <w:t xml:space="preserve"> </w:t>
      </w:r>
      <w:r>
        <w:t xml:space="preserve">37 (1):193–208.</w:t>
      </w:r>
      <w:r>
        <w:t xml:space="preserve"> </w:t>
      </w:r>
      <w:hyperlink r:id="rId120">
        <w:r>
          <w:rPr>
            <w:rStyle w:val="Hyperlink"/>
          </w:rPr>
          <w:t xml:space="preserve">https://doi.org/10.1046/j.1365-2427.1997.d01-539.x</w:t>
        </w:r>
      </w:hyperlink>
      <w:r>
        <w:t xml:space="preserve">.</w:t>
      </w:r>
    </w:p>
    <w:bookmarkEnd w:id="121"/>
    <w:bookmarkStart w:id="122"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22"/>
    <w:bookmarkStart w:id="124"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23">
        <w:r>
          <w:rPr>
            <w:rStyle w:val="Hyperlink"/>
          </w:rPr>
          <w:t xml:space="preserve">https://doi.org/10.1111/j.1752-1688.2011.00635.x</w:t>
        </w:r>
      </w:hyperlink>
      <w:r>
        <w:t xml:space="preserve">.</w:t>
      </w:r>
    </w:p>
    <w:bookmarkEnd w:id="124"/>
    <w:bookmarkStart w:id="126"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25">
        <w:r>
          <w:rPr>
            <w:rStyle w:val="Hyperlink"/>
          </w:rPr>
          <w:t xml:space="preserve">https://doi.org/10.1007%2Fs00267-008-9151-1</w:t>
        </w:r>
      </w:hyperlink>
      <w:r>
        <w:t xml:space="preserve">.</w:t>
      </w:r>
    </w:p>
    <w:bookmarkEnd w:id="126"/>
    <w:bookmarkStart w:id="128"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27">
        <w:r>
          <w:rPr>
            <w:rStyle w:val="Hyperlink"/>
          </w:rPr>
          <w:t xml:space="preserve">https://doi.org/10.3368/er.34.2.124</w:t>
        </w:r>
      </w:hyperlink>
      <w:r>
        <w:t xml:space="preserve">.</w:t>
      </w:r>
    </w:p>
    <w:bookmarkEnd w:id="128"/>
    <w:bookmarkStart w:id="129" w:name="ref-Mazor18"/>
    <w:p>
      <w:pPr>
        <w:pStyle w:val="Bibliography"/>
      </w:pPr>
      <w:r>
        <w:t xml:space="preserve">Mazor, R. D., M. W. Beck, and J. Brown. 2018. “2017 Report on the SMC Regional Stream Survey.” 1029. Costa Mesa, California: Southern California Coastal Water Research Project.</w:t>
      </w:r>
    </w:p>
    <w:bookmarkEnd w:id="129"/>
    <w:bookmarkStart w:id="130"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30"/>
    <w:bookmarkStart w:id="131" w:name="ref-McKay12"/>
    <w:p>
      <w:pPr>
        <w:pStyle w:val="Bibliography"/>
      </w:pPr>
      <w:r>
        <w:t xml:space="preserve">McKay, L., T. Bondelid, T. Dewald, J. Johnston, R. Moore, and A. Reah. 2012. “NHDPlus Version 2: User Guide.”</w:t>
      </w:r>
    </w:p>
    <w:bookmarkEnd w:id="131"/>
    <w:bookmarkStart w:id="132"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32"/>
    <w:bookmarkStart w:id="134"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3">
        <w:r>
          <w:rPr>
            <w:rStyle w:val="Hyperlink"/>
          </w:rPr>
          <w:t xml:space="preserve">https://CRAN.R-project.org/package=quantregForest</w:t>
        </w:r>
      </w:hyperlink>
      <w:r>
        <w:t xml:space="preserve">.</w:t>
      </w:r>
    </w:p>
    <w:bookmarkEnd w:id="134"/>
    <w:bookmarkStart w:id="135"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5"/>
    <w:bookmarkStart w:id="136"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36"/>
    <w:bookmarkStart w:id="138"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37">
        <w:r>
          <w:rPr>
            <w:rStyle w:val="Hyperlink"/>
          </w:rPr>
          <w:t xml:space="preserve">https://doi.org/10.1111/j.1365-2427.1987.tb01027.x</w:t>
        </w:r>
      </w:hyperlink>
      <w:r>
        <w:t xml:space="preserve">.</w:t>
      </w:r>
    </w:p>
    <w:bookmarkEnd w:id="138"/>
    <w:bookmarkStart w:id="140"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(4):474–85.</w:t>
      </w:r>
      <w:r>
        <w:t xml:space="preserve"> </w:t>
      </w:r>
      <w:hyperlink r:id="rId139">
        <w:r>
          <w:rPr>
            <w:rStyle w:val="Hyperlink"/>
          </w:rPr>
          <w:t xml:space="preserve">https://doi.org/10.1002/aqc.1010</w:t>
        </w:r>
      </w:hyperlink>
      <w:r>
        <w:t xml:space="preserve">.</w:t>
      </w:r>
    </w:p>
    <w:bookmarkEnd w:id="140"/>
    <w:bookmarkStart w:id="142" w:name="ref-Ode11"/>
    <w:p>
      <w:pPr>
        <w:pStyle w:val="Bibliography"/>
      </w:pPr>
      <w:r>
        <w:t xml:space="preserve">Ode, P. R., T. M. Kincaid, T. Fleming, and A. C. Rehn. 2011. “Ecological Condition Assessments of California’s Perennial Wadeable Streams: Highlights from the Surface Water Ambient Monitoring Program’s Perennial Streams Assessment (PSA).” Sacramento, California: A collaboration between the State Water Resources Control Board’s Non-Point Source Pollution Control Program (NPS Program), Surface Water Ambient Monitoring Program (SWAMP), California Department of Fish; Game Aquatic Bioassessment Laboratory,; the U.S. Environmental Protecion Agency.</w:t>
      </w:r>
      <w:r>
        <w:t xml:space="preserve"> </w:t>
      </w:r>
      <w:hyperlink r:id="rId141">
        <w:r>
          <w:rPr>
            <w:rStyle w:val="Hyperlink"/>
          </w:rPr>
          <w:t xml:space="preserve">https://www.waterboards.ca.gov/water_issues/programs/swamp/docs/reports/psa_smmry_rpt.pdf</w:t>
        </w:r>
      </w:hyperlink>
      <w:r>
        <w:t xml:space="preserve">.</w:t>
      </w:r>
    </w:p>
    <w:bookmarkEnd w:id="142"/>
    <w:bookmarkStart w:id="143"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43"/>
    <w:bookmarkStart w:id="145"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44">
        <w:r>
          <w:rPr>
            <w:rStyle w:val="Hyperlink"/>
          </w:rPr>
          <w:t xml:space="preserve">https://doi.org/10.1111/j.1752-1688.2008.00280.x</w:t>
        </w:r>
      </w:hyperlink>
      <w:r>
        <w:t xml:space="preserve">.</w:t>
      </w:r>
    </w:p>
    <w:bookmarkEnd w:id="145"/>
    <w:bookmarkStart w:id="147"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(12):2101–9.</w:t>
      </w:r>
      <w:r>
        <w:t xml:space="preserve"> </w:t>
      </w:r>
      <w:hyperlink r:id="rId146">
        <w:r>
          <w:rPr>
            <w:rStyle w:val="Hyperlink"/>
          </w:rPr>
          <w:t xml:space="preserve">https://doi.org/10.1016/j.foreco.2008.07.041</w:t>
        </w:r>
      </w:hyperlink>
      <w:r>
        <w:t xml:space="preserve">.</w:t>
      </w:r>
    </w:p>
    <w:bookmarkEnd w:id="147"/>
    <w:bookmarkStart w:id="148" w:name="ref-RDCT18"/>
    <w:p>
      <w:pPr>
        <w:pStyle w:val="Bibliography"/>
      </w:pPr>
      <w:r>
        <w:t xml:space="preserve">RDCT (R Development Core Team). 2018. “R: A language and environment for statistical computing, v3.5.1. R Foundation for Statistical Computing, Vienna, Austria.”</w:t>
      </w:r>
    </w:p>
    <w:bookmarkEnd w:id="148"/>
    <w:bookmarkStart w:id="150"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(10):2417–31.</w:t>
      </w:r>
      <w:r>
        <w:t xml:space="preserve"> </w:t>
      </w:r>
      <w:hyperlink r:id="rId149">
        <w:r>
          <w:rPr>
            <w:rStyle w:val="Hyperlink"/>
          </w:rPr>
          <w:t xml:space="preserve">https://doi.org/10.1016/j.biocon.2008.07.014</w:t>
        </w:r>
      </w:hyperlink>
      <w:r>
        <w:t xml:space="preserve">.</w:t>
      </w:r>
    </w:p>
    <w:bookmarkEnd w:id="150"/>
    <w:bookmarkStart w:id="152"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51">
        <w:r>
          <w:rPr>
            <w:rStyle w:val="Hyperlink"/>
          </w:rPr>
          <w:t xml:space="preserve">https://www.waterboards.ca.gov/water_issues/programs/swamp/bioassessment/docs/physical_habitat_index_technical_memo.pdf</w:t>
        </w:r>
      </w:hyperlink>
      <w:r>
        <w:t xml:space="preserve">.</w:t>
      </w:r>
    </w:p>
    <w:bookmarkEnd w:id="152"/>
    <w:bookmarkStart w:id="154"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r>
        <w:t xml:space="preserve"> </w:t>
      </w:r>
      <w:hyperlink r:id="rId153">
        <w:r>
          <w:rPr>
            <w:rStyle w:val="Hyperlink"/>
          </w:rPr>
          <w:t xml:space="preserve">https://doi.org/10.2307/1468175</w:t>
        </w:r>
      </w:hyperlink>
      <w:r>
        <w:t xml:space="preserve">.</w:t>
      </w:r>
    </w:p>
    <w:bookmarkEnd w:id="154"/>
    <w:bookmarkStart w:id="156" w:name="ref-Richards97"/>
    <w:p>
      <w:pPr>
        <w:pStyle w:val="Bibliography"/>
      </w:pPr>
      <w:r>
        <w:t xml:space="preserve">Richards, C., R. Haro, L. Johnson, and G. Host. 1997. “Catchment and Reach-Scale Properties as Indicators of Macroinvertbrate Species Traits.”</w:t>
      </w:r>
      <w:r>
        <w:t xml:space="preserve"> </w:t>
      </w:r>
      <w:r>
        <w:rPr>
          <w:i/>
        </w:rPr>
        <w:t xml:space="preserve">Freshwater Biology</w:t>
      </w:r>
      <w:r>
        <w:t xml:space="preserve"> </w:t>
      </w:r>
      <w:r>
        <w:t xml:space="preserve">37 (1):219–30.</w:t>
      </w:r>
      <w:r>
        <w:t xml:space="preserve"> </w:t>
      </w:r>
      <w:hyperlink r:id="rId155">
        <w:r>
          <w:rPr>
            <w:rStyle w:val="Hyperlink"/>
          </w:rPr>
          <w:t xml:space="preserve">https://doi.org/10.1046/j.1365-2427.1997.d01-540.x</w:t>
        </w:r>
      </w:hyperlink>
      <w:r>
        <w:t xml:space="preserve">.</w:t>
      </w:r>
    </w:p>
    <w:bookmarkEnd w:id="156"/>
    <w:bookmarkStart w:id="157"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57"/>
    <w:bookmarkStart w:id="159"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58">
        <w:r>
          <w:rPr>
            <w:rStyle w:val="Hyperlink"/>
          </w:rPr>
          <w:t xml:space="preserve">https://doi.org/10.1111/gec3.12039</w:t>
        </w:r>
      </w:hyperlink>
      <w:r>
        <w:t xml:space="preserve">.</w:t>
      </w:r>
    </w:p>
    <w:bookmarkEnd w:id="159"/>
    <w:bookmarkStart w:id="161"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60">
        <w:r>
          <w:rPr>
            <w:rStyle w:val="Hyperlink"/>
          </w:rPr>
          <w:t xml:space="preserve">https://doi.org/10.1007/s10661-010-1385-8</w:t>
        </w:r>
      </w:hyperlink>
      <w:r>
        <w:t xml:space="preserve">.</w:t>
      </w:r>
    </w:p>
    <w:bookmarkEnd w:id="161"/>
    <w:bookmarkStart w:id="163"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62">
        <w:r>
          <w:rPr>
            <w:rStyle w:val="Hyperlink"/>
          </w:rPr>
          <w:t xml:space="preserve">https://doi.org/10.1111/jawr.12035</w:t>
        </w:r>
      </w:hyperlink>
      <w:r>
        <w:t xml:space="preserve">.</w:t>
      </w:r>
    </w:p>
    <w:bookmarkEnd w:id="163"/>
    <w:bookmarkStart w:id="165"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(7):e1869.</w:t>
      </w:r>
      <w:r>
        <w:t xml:space="preserve"> </w:t>
      </w:r>
      <w:hyperlink r:id="rId164">
        <w:r>
          <w:rPr>
            <w:rStyle w:val="Hyperlink"/>
          </w:rPr>
          <w:t xml:space="preserve">https://doi.org/10.1002/eco.1869</w:t>
        </w:r>
      </w:hyperlink>
      <w:r>
        <w:t xml:space="preserve">.</w:t>
      </w:r>
    </w:p>
    <w:bookmarkEnd w:id="165"/>
    <w:bookmarkStart w:id="167"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r>
        <w:t xml:space="preserve"> </w:t>
      </w:r>
      <w:hyperlink r:id="rId166">
        <w:r>
          <w:rPr>
            <w:rStyle w:val="Hyperlink"/>
          </w:rPr>
          <w:t xml:space="preserve">https://doi.org/10.1890/1051-0761(2006)016[1267:SEFTEC]2.0.CO;2</w:t>
        </w:r>
      </w:hyperlink>
      <w:r>
        <w:t xml:space="preserve">.</w:t>
      </w:r>
    </w:p>
    <w:bookmarkEnd w:id="167"/>
    <w:bookmarkStart w:id="169"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(1):151–69.</w:t>
      </w:r>
      <w:r>
        <w:t xml:space="preserve"> </w:t>
      </w:r>
      <w:hyperlink r:id="rId168">
        <w:r>
          <w:rPr>
            <w:rStyle w:val="Hyperlink"/>
          </w:rPr>
          <w:t xml:space="preserve">https://doi.org/10.1046/j.1365-2427.1998.00272.x</w:t>
        </w:r>
      </w:hyperlink>
      <w:r>
        <w:t xml:space="preserve">.</w:t>
      </w:r>
    </w:p>
    <w:bookmarkEnd w:id="169"/>
    <w:bookmarkStart w:id="170"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70"/>
    <w:bookmarkStart w:id="171" w:name="ref-USGS99"/>
    <w:p>
      <w:pPr>
        <w:pStyle w:val="Bibliography"/>
      </w:pPr>
      <w:r>
        <w:t xml:space="preserve">USGS (US Geological Survey). 1999. “The quality of our nation’s waters: nutrients and pesticides.” Reston, Virginia.</w:t>
      </w:r>
    </w:p>
    <w:bookmarkEnd w:id="171"/>
    <w:bookmarkStart w:id="173"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72">
        <w:r>
          <w:rPr>
            <w:rStyle w:val="Hyperlink"/>
          </w:rPr>
          <w:t xml:space="preserve">https://doi.org/10.1023/A:1023374524254</w:t>
        </w:r>
      </w:hyperlink>
      <w:r>
        <w:t xml:space="preserve">.</w:t>
      </w:r>
    </w:p>
    <w:bookmarkEnd w:id="173"/>
    <w:bookmarkStart w:id="175"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74">
        <w:r>
          <w:rPr>
            <w:rStyle w:val="Hyperlink"/>
          </w:rPr>
          <w:t xml:space="preserve">https://doi.org/10.1111/jawr.12032</w:t>
        </w:r>
      </w:hyperlink>
      <w:r>
        <w:t xml:space="preserve">.</w:t>
      </w:r>
    </w:p>
    <w:bookmarkEnd w:id="175"/>
    <w:bookmarkStart w:id="177"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76">
        <w:r>
          <w:rPr>
            <w:rStyle w:val="Hyperlink"/>
          </w:rPr>
          <w:t xml:space="preserve">https://doi.org/10.1371/journal.pone.0090944</w:t>
        </w:r>
      </w:hyperlink>
      <w:r>
        <w:t xml:space="preserve">.</w:t>
      </w:r>
    </w:p>
    <w:bookmarkEnd w:id="177"/>
    <w:bookmarkStart w:id="179"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78">
        <w:r>
          <w:rPr>
            <w:rStyle w:val="Hyperlink"/>
          </w:rPr>
          <w:t xml:space="preserve">https://doi.org/10.1899/04-028.1</w:t>
        </w:r>
      </w:hyperlink>
      <w:r>
        <w:t xml:space="preserve">.</w:t>
      </w:r>
    </w:p>
    <w:bookmarkEnd w:id="179"/>
    <w:bookmarkStart w:id="181"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80">
        <w:r>
          <w:rPr>
            <w:rStyle w:val="Hyperlink"/>
          </w:rPr>
          <w:t xml:space="preserve">https://doi.org/10.1577/1548-8446(1997)022%3C0006:IOWLUO%3E2.0.CO;2</w:t>
        </w:r>
      </w:hyperlink>
      <w:r>
        <w:t xml:space="preserve">.</w:t>
      </w:r>
    </w:p>
    <w:bookmarkEnd w:id="181"/>
    <w:bookmarkEnd w:id="182"/>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5" Target="media/rId55.jpg" /><Relationship Type="http://schemas.openxmlformats.org/officeDocument/2006/relationships/image" Id="rId52" Target="media/rId52.jpg" /><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3" Target="https://CRAN.R-project.org/package=quantregForest" TargetMode="External" /><Relationship Type="http://schemas.openxmlformats.org/officeDocument/2006/relationships/hyperlink" Id="rId139"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64" Target="https://doi.org/10.1002/eco.1869" TargetMode="External" /><Relationship Type="http://schemas.openxmlformats.org/officeDocument/2006/relationships/hyperlink" Id="rId93" Target="https://doi.org/10.1002/rra.1053" TargetMode="External" /><Relationship Type="http://schemas.openxmlformats.org/officeDocument/2006/relationships/hyperlink" Id="rId125"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0" Target="https://doi.org/10.1007/s10661-010-1385-8" TargetMode="External" /><Relationship Type="http://schemas.openxmlformats.org/officeDocument/2006/relationships/hyperlink" Id="rId80"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49"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46" Target="https://doi.org/10.1016/j.foreco.2008.07.041" TargetMode="External" /><Relationship Type="http://schemas.openxmlformats.org/officeDocument/2006/relationships/hyperlink" Id="rId78" Target="https://doi.org/10.1016/j.landurbplan.2012.07.009" TargetMode="External" /><Relationship Type="http://schemas.openxmlformats.org/officeDocument/2006/relationships/hyperlink" Id="rId172"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120" Target="https://doi.org/10.1046/j.1365-2427.1997.d01-539.x" TargetMode="External" /><Relationship Type="http://schemas.openxmlformats.org/officeDocument/2006/relationships/hyperlink" Id="rId155" Target="https://doi.org/10.1046/j.1365-2427.1997.d01-540.x" TargetMode="External" /><Relationship Type="http://schemas.openxmlformats.org/officeDocument/2006/relationships/hyperlink" Id="rId60" Target="https://doi.org/10.1046/j.1365-2427.1997.d01-546.x" TargetMode="External" /><Relationship Type="http://schemas.openxmlformats.org/officeDocument/2006/relationships/hyperlink" Id="rId168" Target="https://doi.org/10.1046/j.1365-2427.1998.00272.x" TargetMode="External" /><Relationship Type="http://schemas.openxmlformats.org/officeDocument/2006/relationships/hyperlink" Id="rId118" Target="https://doi.org/10.1080/03680770.1974.11896033"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58" Target="https://doi.org/10.1111/gec3.12039" TargetMode="External" /><Relationship Type="http://schemas.openxmlformats.org/officeDocument/2006/relationships/hyperlink" Id="rId137"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69" Target="https://doi.org/10.1111/j.1526-100X.2007.00244.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44" Target="https://doi.org/10.1111/j.1752-1688.2008.00280.x" TargetMode="External" /><Relationship Type="http://schemas.openxmlformats.org/officeDocument/2006/relationships/hyperlink" Id="rId123" Target="https://doi.org/10.1111/j.1752-1688.2011.00635.x" TargetMode="External" /><Relationship Type="http://schemas.openxmlformats.org/officeDocument/2006/relationships/hyperlink" Id="rId174" Target="https://doi.org/10.1111/jawr.12032" TargetMode="External" /><Relationship Type="http://schemas.openxmlformats.org/officeDocument/2006/relationships/hyperlink" Id="rId162" Target="https://doi.org/10.1111/jawr.12035" TargetMode="External" /><Relationship Type="http://schemas.openxmlformats.org/officeDocument/2006/relationships/hyperlink" Id="rId74" Target="https://doi.org/10.1177/0739456X03022004007" TargetMode="External" /><Relationship Type="http://schemas.openxmlformats.org/officeDocument/2006/relationships/hyperlink" Id="rId176" Target="https://doi.org/10.1371/journal.pone.0090944" TargetMode="External" /><Relationship Type="http://schemas.openxmlformats.org/officeDocument/2006/relationships/hyperlink" Id="rId180"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66" Target="https://doi.org/10.1890/1051-0761(2006)016[1267:SEFTEC]2.0.CO;2" TargetMode="External" /><Relationship Type="http://schemas.openxmlformats.org/officeDocument/2006/relationships/hyperlink" Id="rId178"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6"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53" Target="https://doi.org/10.2307/1468175" TargetMode="External" /><Relationship Type="http://schemas.openxmlformats.org/officeDocument/2006/relationships/hyperlink" Id="rId99" Target="https://doi.org/10.2307/41416699" TargetMode="External" /><Relationship Type="http://schemas.openxmlformats.org/officeDocument/2006/relationships/hyperlink" Id="rId127" Target="https://doi.org/10.3368/er.34.2.124" TargetMode="External" /><Relationship Type="http://schemas.openxmlformats.org/officeDocument/2006/relationships/hyperlink" Id="rId71" Target="https://www.waterboards.ca.gov/sandiego/water_issues/programs/303d_list/docs/Staff_Report_101216.pdf" TargetMode="External" /><Relationship Type="http://schemas.openxmlformats.org/officeDocument/2006/relationships/hyperlink" Id="rId151" Target="https://www.waterboards.ca.gov/water_issues/programs/swamp/bioassessment/docs/physical_habitat_index_technical_memo.pdf" TargetMode="External" /><Relationship Type="http://schemas.openxmlformats.org/officeDocument/2006/relationships/hyperlink" Id="rId141"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3" Target="https://CRAN.R-project.org/package=quantregForest" TargetMode="External" /><Relationship Type="http://schemas.openxmlformats.org/officeDocument/2006/relationships/hyperlink" Id="rId139"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64" Target="https://doi.org/10.1002/eco.1869" TargetMode="External" /><Relationship Type="http://schemas.openxmlformats.org/officeDocument/2006/relationships/hyperlink" Id="rId93" Target="https://doi.org/10.1002/rra.1053" TargetMode="External" /><Relationship Type="http://schemas.openxmlformats.org/officeDocument/2006/relationships/hyperlink" Id="rId125"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0" Target="https://doi.org/10.1007/s10661-010-1385-8" TargetMode="External" /><Relationship Type="http://schemas.openxmlformats.org/officeDocument/2006/relationships/hyperlink" Id="rId80"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49"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46" Target="https://doi.org/10.1016/j.foreco.2008.07.041" TargetMode="External" /><Relationship Type="http://schemas.openxmlformats.org/officeDocument/2006/relationships/hyperlink" Id="rId78" Target="https://doi.org/10.1016/j.landurbplan.2012.07.009" TargetMode="External" /><Relationship Type="http://schemas.openxmlformats.org/officeDocument/2006/relationships/hyperlink" Id="rId172"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120" Target="https://doi.org/10.1046/j.1365-2427.1997.d01-539.x" TargetMode="External" /><Relationship Type="http://schemas.openxmlformats.org/officeDocument/2006/relationships/hyperlink" Id="rId155" Target="https://doi.org/10.1046/j.1365-2427.1997.d01-540.x" TargetMode="External" /><Relationship Type="http://schemas.openxmlformats.org/officeDocument/2006/relationships/hyperlink" Id="rId60" Target="https://doi.org/10.1046/j.1365-2427.1997.d01-546.x" TargetMode="External" /><Relationship Type="http://schemas.openxmlformats.org/officeDocument/2006/relationships/hyperlink" Id="rId168" Target="https://doi.org/10.1046/j.1365-2427.1998.00272.x" TargetMode="External" /><Relationship Type="http://schemas.openxmlformats.org/officeDocument/2006/relationships/hyperlink" Id="rId118" Target="https://doi.org/10.1080/03680770.1974.11896033"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58" Target="https://doi.org/10.1111/gec3.12039" TargetMode="External" /><Relationship Type="http://schemas.openxmlformats.org/officeDocument/2006/relationships/hyperlink" Id="rId137"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69" Target="https://doi.org/10.1111/j.1526-100X.2007.00244.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44" Target="https://doi.org/10.1111/j.1752-1688.2008.00280.x" TargetMode="External" /><Relationship Type="http://schemas.openxmlformats.org/officeDocument/2006/relationships/hyperlink" Id="rId123" Target="https://doi.org/10.1111/j.1752-1688.2011.00635.x" TargetMode="External" /><Relationship Type="http://schemas.openxmlformats.org/officeDocument/2006/relationships/hyperlink" Id="rId174" Target="https://doi.org/10.1111/jawr.12032" TargetMode="External" /><Relationship Type="http://schemas.openxmlformats.org/officeDocument/2006/relationships/hyperlink" Id="rId162" Target="https://doi.org/10.1111/jawr.12035" TargetMode="External" /><Relationship Type="http://schemas.openxmlformats.org/officeDocument/2006/relationships/hyperlink" Id="rId74" Target="https://doi.org/10.1177/0739456X03022004007" TargetMode="External" /><Relationship Type="http://schemas.openxmlformats.org/officeDocument/2006/relationships/hyperlink" Id="rId176" Target="https://doi.org/10.1371/journal.pone.0090944" TargetMode="External" /><Relationship Type="http://schemas.openxmlformats.org/officeDocument/2006/relationships/hyperlink" Id="rId180"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66" Target="https://doi.org/10.1890/1051-0761(2006)016[1267:SEFTEC]2.0.CO;2" TargetMode="External" /><Relationship Type="http://schemas.openxmlformats.org/officeDocument/2006/relationships/hyperlink" Id="rId178"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6"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53" Target="https://doi.org/10.2307/1468175" TargetMode="External" /><Relationship Type="http://schemas.openxmlformats.org/officeDocument/2006/relationships/hyperlink" Id="rId99" Target="https://doi.org/10.2307/41416699" TargetMode="External" /><Relationship Type="http://schemas.openxmlformats.org/officeDocument/2006/relationships/hyperlink" Id="rId127" Target="https://doi.org/10.3368/er.34.2.124" TargetMode="External" /><Relationship Type="http://schemas.openxmlformats.org/officeDocument/2006/relationships/hyperlink" Id="rId71" Target="https://www.waterboards.ca.gov/sandiego/water_issues/programs/303d_list/docs/Staff_Report_101216.pdf" TargetMode="External" /><Relationship Type="http://schemas.openxmlformats.org/officeDocument/2006/relationships/hyperlink" Id="rId151" Target="https://www.waterboards.ca.gov/water_issues/programs/swamp/bioassessment/docs/physical_habitat_index_technical_memo.pdf" TargetMode="External" /><Relationship Type="http://schemas.openxmlformats.org/officeDocument/2006/relationships/hyperlink" Id="rId141"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2018-12-07T23:46:45Z</dcterms:created>
  <dcterms:modified xsi:type="dcterms:W3CDTF">2018-12-07T23:46:45Z</dcterms:modified>
</cp:coreProperties>
</file>